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34" w:rsidRPr="006A0734" w:rsidRDefault="006A0734" w:rsidP="006A0734">
      <w:pPr>
        <w:widowControl/>
        <w:shd w:val="clear" w:color="auto" w:fill="FFFFFF"/>
        <w:jc w:val="center"/>
        <w:outlineLvl w:val="0"/>
        <w:rPr>
          <w:rFonts w:ascii="Segoe UI" w:eastAsia="宋体" w:hAnsi="Segoe UI" w:cs="Segoe UI"/>
          <w:color w:val="333333"/>
          <w:kern w:val="36"/>
          <w:sz w:val="24"/>
          <w:szCs w:val="24"/>
        </w:rPr>
      </w:pPr>
      <w:r w:rsidRPr="006A0734">
        <w:rPr>
          <w:rFonts w:ascii="Segoe UI" w:eastAsia="宋体" w:hAnsi="Segoe UI" w:cs="Segoe UI"/>
          <w:color w:val="333333"/>
          <w:kern w:val="36"/>
          <w:sz w:val="24"/>
          <w:szCs w:val="24"/>
        </w:rPr>
        <w:t>农业农村部办公厅关于</w:t>
      </w:r>
      <w:r w:rsidRPr="006A0734">
        <w:rPr>
          <w:rFonts w:ascii="Segoe UI" w:eastAsia="宋体" w:hAnsi="Segoe UI" w:cs="Segoe UI"/>
          <w:color w:val="333333"/>
          <w:kern w:val="36"/>
          <w:sz w:val="24"/>
          <w:szCs w:val="24"/>
        </w:rPr>
        <w:t>2019</w:t>
      </w:r>
      <w:r w:rsidRPr="006A0734">
        <w:rPr>
          <w:rFonts w:ascii="Segoe UI" w:eastAsia="宋体" w:hAnsi="Segoe UI" w:cs="Segoe UI"/>
          <w:color w:val="333333"/>
          <w:kern w:val="36"/>
          <w:sz w:val="24"/>
          <w:szCs w:val="24"/>
        </w:rPr>
        <w:t>年度</w:t>
      </w:r>
    </w:p>
    <w:p w:rsidR="006A0734" w:rsidRPr="006A0734" w:rsidRDefault="006A0734" w:rsidP="006A0734">
      <w:pPr>
        <w:widowControl/>
        <w:shd w:val="clear" w:color="auto" w:fill="FFFFFF"/>
        <w:jc w:val="center"/>
        <w:outlineLvl w:val="0"/>
        <w:rPr>
          <w:rFonts w:ascii="Segoe UI" w:eastAsia="宋体" w:hAnsi="Segoe UI" w:cs="Segoe UI"/>
          <w:color w:val="333333"/>
          <w:kern w:val="36"/>
          <w:sz w:val="24"/>
          <w:szCs w:val="24"/>
        </w:rPr>
      </w:pPr>
      <w:r w:rsidRPr="006A0734">
        <w:rPr>
          <w:rFonts w:ascii="Segoe UI" w:eastAsia="宋体" w:hAnsi="Segoe UI" w:cs="Segoe UI"/>
          <w:color w:val="333333"/>
          <w:kern w:val="36"/>
          <w:sz w:val="24"/>
          <w:szCs w:val="24"/>
        </w:rPr>
        <w:t>金融支农创新试点政府购买服务有关事宜的通知</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各省、自治区、直辖市及计划单列市农业农村（农牧）厅（局、委），新疆生产建设兵团农业农村局，黑龙江省农垦总局、广东省农垦总局，各有关金融机构：</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为更好发挥市场机制作用，引导金融资金投入农业农村，</w:t>
      </w:r>
      <w:r w:rsidRPr="006A0734">
        <w:rPr>
          <w:rFonts w:ascii="simsun" w:eastAsia="宋体" w:hAnsi="simsun" w:cs="宋体"/>
          <w:color w:val="333333"/>
          <w:kern w:val="0"/>
          <w:sz w:val="24"/>
          <w:szCs w:val="24"/>
        </w:rPr>
        <w:t>2019</w:t>
      </w:r>
      <w:r w:rsidRPr="006A0734">
        <w:rPr>
          <w:rFonts w:ascii="simsun" w:eastAsia="宋体" w:hAnsi="simsun" w:cs="宋体"/>
          <w:color w:val="333333"/>
          <w:kern w:val="0"/>
          <w:sz w:val="24"/>
          <w:szCs w:val="24"/>
        </w:rPr>
        <w:t>年我部将通过政府购买服务方式开展金融支农创新试点，通过在局部地区开展先导性、创新性试验，总结可复制、易推广、贴近农民需求的金融支农模式，为研究出台具有区域性、全国性的重大支农政策建立储备，促进金融更好地服务乡村振兴和农业农村现代化建设。现就有关事宜通知如下。</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一、购买主体和承接主体</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2019</w:t>
      </w:r>
      <w:r w:rsidRPr="006A0734">
        <w:rPr>
          <w:rFonts w:ascii="simsun" w:eastAsia="宋体" w:hAnsi="simsun" w:cs="宋体"/>
          <w:color w:val="333333"/>
          <w:kern w:val="0"/>
          <w:sz w:val="24"/>
          <w:szCs w:val="24"/>
        </w:rPr>
        <w:t>年度金融支农创新试点服务事项的购买主体为农业农村部计划财务司。承接主体为银行、保险公司、担保公司、期货公司等金融机构。金融机构总部及其地方分支机构均可单独承接；各金融机构既可单独作为承接主体，也可通过机制创新联合起来作为承接主体。</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同时，农业农村部计划财务司将按照《农业农村部办公厅关于进一步规范开展部门预算项目政府采购服务的通知》（农办计财〔</w:t>
      </w:r>
      <w:r w:rsidRPr="006A0734">
        <w:rPr>
          <w:rFonts w:ascii="simsun" w:eastAsia="宋体" w:hAnsi="simsun" w:cs="宋体"/>
          <w:color w:val="333333"/>
          <w:kern w:val="0"/>
          <w:sz w:val="24"/>
          <w:szCs w:val="24"/>
        </w:rPr>
        <w:t>2019</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29</w:t>
      </w:r>
      <w:r w:rsidRPr="006A0734">
        <w:rPr>
          <w:rFonts w:ascii="simsun" w:eastAsia="宋体" w:hAnsi="simsun" w:cs="宋体"/>
          <w:color w:val="333333"/>
          <w:kern w:val="0"/>
          <w:sz w:val="24"/>
          <w:szCs w:val="24"/>
        </w:rPr>
        <w:t>号）的要求，充分发挥省级农业农村部门作用，使购买服务的内容及数量、质量、标准等要求，与当地实际情况和服务需求有效结合，并加强合同履约管理，确保绩效目标实现。</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二、购买内容和任务目标</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2019</w:t>
      </w:r>
      <w:r w:rsidRPr="006A0734">
        <w:rPr>
          <w:rFonts w:ascii="simsun" w:eastAsia="宋体" w:hAnsi="simsun" w:cs="宋体"/>
          <w:color w:val="333333"/>
          <w:kern w:val="0"/>
          <w:sz w:val="24"/>
          <w:szCs w:val="24"/>
        </w:rPr>
        <w:t>年金融支农创新试点服务事项购买的农业农村公共金融服务，要紧紧围绕中央关于实施乡村振兴战略的重大部署，围绕农户尤其是新型农业经营主体的迫切需求，立足破解农业农村金融瓶颈制约、打通金融资金投入农业农村的渠道、形成金融重点倾斜的多元投入格局，创新产品、创新服务、创新模式，提高农业农村金融服务的可得性、便利性和精准性，更好满足乡村振兴多样化、多层次的金融需求。</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（一）开展农业农村金融保险创新，充实农村金融、农业保险政策储备。创新试点服务事项要重点结合《</w:t>
      </w:r>
      <w:r w:rsidRPr="006A0734">
        <w:rPr>
          <w:rFonts w:ascii="simsun" w:eastAsia="宋体" w:hAnsi="simsun" w:cs="宋体"/>
          <w:color w:val="333333"/>
          <w:kern w:val="0"/>
          <w:sz w:val="24"/>
          <w:szCs w:val="24"/>
        </w:rPr>
        <w:t>2019</w:t>
      </w:r>
      <w:r w:rsidRPr="006A0734">
        <w:rPr>
          <w:rFonts w:ascii="simsun" w:eastAsia="宋体" w:hAnsi="simsun" w:cs="宋体"/>
          <w:color w:val="333333"/>
          <w:kern w:val="0"/>
          <w:sz w:val="24"/>
          <w:szCs w:val="24"/>
        </w:rPr>
        <w:t>年度金融支农创新试点服务事项重点选题方向参考》（附件</w:t>
      </w:r>
      <w:r w:rsidRPr="006A0734">
        <w:rPr>
          <w:rFonts w:ascii="simsun" w:eastAsia="宋体" w:hAnsi="simsun" w:cs="宋体"/>
          <w:color w:val="333333"/>
          <w:kern w:val="0"/>
          <w:sz w:val="24"/>
          <w:szCs w:val="24"/>
        </w:rPr>
        <w:t>1</w:t>
      </w:r>
      <w:r w:rsidRPr="006A0734">
        <w:rPr>
          <w:rFonts w:ascii="simsun" w:eastAsia="宋体" w:hAnsi="simsun" w:cs="宋体"/>
          <w:color w:val="333333"/>
          <w:kern w:val="0"/>
          <w:sz w:val="24"/>
          <w:szCs w:val="24"/>
        </w:rPr>
        <w:t>），参考《中国人民银行、银保监会、证监会、财政部、农业农村部关于金融服务乡村振兴的指导意见》明确的重点支持领域，根据地方农业农村金融需求，选择创新的主题和内容，编制服务事项方案和规划，试点区域向贫困地区，特别是</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三区三州</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等深度贫困地区、我部定点扶贫县倾斜。为了引导各地打好财政撬动金融和保险服务乡村振兴的</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组合拳</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，今年拟在每省、自治区、直辖市、计划单列市和新疆生产建设兵团、黑龙江农垦、广东农垦，各采购不超过</w:t>
      </w:r>
      <w:r w:rsidRPr="006A0734">
        <w:rPr>
          <w:rFonts w:ascii="simsun" w:eastAsia="宋体" w:hAnsi="simsun" w:cs="宋体"/>
          <w:color w:val="333333"/>
          <w:kern w:val="0"/>
          <w:sz w:val="24"/>
          <w:szCs w:val="24"/>
        </w:rPr>
        <w:t>4</w:t>
      </w:r>
      <w:r w:rsidRPr="006A0734">
        <w:rPr>
          <w:rFonts w:ascii="simsun" w:eastAsia="宋体" w:hAnsi="simsun" w:cs="宋体"/>
          <w:color w:val="333333"/>
          <w:kern w:val="0"/>
          <w:sz w:val="24"/>
          <w:szCs w:val="24"/>
        </w:rPr>
        <w:t>个符合条件的创新试点服务事项。</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（二）发挥财政资金杠杆作用，推动解决新型农业经营主体贷款难、贷款贵、风险高问题。每个创新试点服务事项年度采购资金额度上限</w:t>
      </w:r>
      <w:r w:rsidRPr="006A0734">
        <w:rPr>
          <w:rFonts w:ascii="simsun" w:eastAsia="宋体" w:hAnsi="simsun" w:cs="宋体"/>
          <w:color w:val="333333"/>
          <w:kern w:val="0"/>
          <w:sz w:val="24"/>
          <w:szCs w:val="24"/>
        </w:rPr>
        <w:t>100</w:t>
      </w:r>
      <w:r w:rsidRPr="006A0734">
        <w:rPr>
          <w:rFonts w:ascii="simsun" w:eastAsia="宋体" w:hAnsi="simsun" w:cs="宋体"/>
          <w:color w:val="333333"/>
          <w:kern w:val="0"/>
          <w:sz w:val="24"/>
          <w:szCs w:val="24"/>
        </w:rPr>
        <w:t>万元（不含），</w:t>
      </w:r>
      <w:r w:rsidRPr="006A0734">
        <w:rPr>
          <w:rFonts w:ascii="simsun" w:eastAsia="宋体" w:hAnsi="simsun" w:cs="宋体"/>
          <w:color w:val="333333"/>
          <w:kern w:val="0"/>
          <w:sz w:val="24"/>
          <w:szCs w:val="24"/>
        </w:rPr>
        <w:lastRenderedPageBreak/>
        <w:t>主要用于鼓励金融机构降低新型农业经营主体的信贷保险成本，不用于信贷风险补偿。每个创新试点服务事项须创设至少一个信贷产品或保险产品，突出创新性、前瞻性、可行性和持续性。其中：信贷类产品贷款综合成本不超过</w:t>
      </w:r>
      <w:r w:rsidRPr="006A0734">
        <w:rPr>
          <w:rFonts w:ascii="simsun" w:eastAsia="宋体" w:hAnsi="simsun" w:cs="宋体"/>
          <w:color w:val="333333"/>
          <w:kern w:val="0"/>
          <w:sz w:val="24"/>
          <w:szCs w:val="24"/>
        </w:rPr>
        <w:t>8%</w:t>
      </w:r>
      <w:r w:rsidRPr="006A0734">
        <w:rPr>
          <w:rFonts w:ascii="simsun" w:eastAsia="宋体" w:hAnsi="simsun" w:cs="宋体"/>
          <w:color w:val="333333"/>
          <w:kern w:val="0"/>
          <w:sz w:val="24"/>
          <w:szCs w:val="24"/>
        </w:rPr>
        <w:t>、单笔贷款规模不超过</w:t>
      </w:r>
      <w:r w:rsidRPr="006A0734">
        <w:rPr>
          <w:rFonts w:ascii="simsun" w:eastAsia="宋体" w:hAnsi="simsun" w:cs="宋体"/>
          <w:color w:val="333333"/>
          <w:kern w:val="0"/>
          <w:sz w:val="24"/>
          <w:szCs w:val="24"/>
        </w:rPr>
        <w:t>300</w:t>
      </w:r>
      <w:r w:rsidRPr="006A0734">
        <w:rPr>
          <w:rFonts w:ascii="simsun" w:eastAsia="宋体" w:hAnsi="simsun" w:cs="宋体"/>
          <w:color w:val="333333"/>
          <w:kern w:val="0"/>
          <w:sz w:val="24"/>
          <w:szCs w:val="24"/>
        </w:rPr>
        <w:t>万元，且应为农业经营主体发放不低于采购资金</w:t>
      </w:r>
      <w:r w:rsidRPr="006A0734">
        <w:rPr>
          <w:rFonts w:ascii="simsun" w:eastAsia="宋体" w:hAnsi="simsun" w:cs="宋体"/>
          <w:color w:val="333333"/>
          <w:kern w:val="0"/>
          <w:sz w:val="24"/>
          <w:szCs w:val="24"/>
        </w:rPr>
        <w:t>50</w:t>
      </w:r>
      <w:r w:rsidRPr="006A0734">
        <w:rPr>
          <w:rFonts w:ascii="simsun" w:eastAsia="宋体" w:hAnsi="simsun" w:cs="宋体"/>
          <w:color w:val="333333"/>
          <w:kern w:val="0"/>
          <w:sz w:val="24"/>
          <w:szCs w:val="24"/>
        </w:rPr>
        <w:t>倍的贷款，在贫困地区可适当降低倍数要求；保险类产品应设置科学合理的费率水平，且应为农业经营主体提供不低于采购资金</w:t>
      </w:r>
      <w:r w:rsidRPr="006A0734">
        <w:rPr>
          <w:rFonts w:ascii="simsun" w:eastAsia="宋体" w:hAnsi="simsun" w:cs="宋体"/>
          <w:color w:val="333333"/>
          <w:kern w:val="0"/>
          <w:sz w:val="24"/>
          <w:szCs w:val="24"/>
        </w:rPr>
        <w:t>20</w:t>
      </w:r>
      <w:r w:rsidRPr="006A0734">
        <w:rPr>
          <w:rFonts w:ascii="simsun" w:eastAsia="宋体" w:hAnsi="simsun" w:cs="宋体"/>
          <w:color w:val="333333"/>
          <w:kern w:val="0"/>
          <w:sz w:val="24"/>
          <w:szCs w:val="24"/>
        </w:rPr>
        <w:t>倍的风险保障。</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（三）紧密依托互联网手段，探索相关涉农信息数据共享共用。创新试点服务事项产品均应在农业农村部新型农业经营主体信息直报系统（下称</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直报系统</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）中上线，点对点为使用直报系统的新型农业经营主体提供信贷保险服务，并及时核验反馈相关新型农业经营主体生产经营信息，为探索构建新型经营主体信用评价体系积累经验和数据。</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三、购买程序和要求</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（一）编制方案。金融机构根据上述购买内容和任务目标，根据地方实际金融服务需求，开发设计金融创新产品，在充分征求省级农业农村部门意见的基础上，编制实施期限为</w:t>
      </w:r>
      <w:r w:rsidRPr="006A0734">
        <w:rPr>
          <w:rFonts w:ascii="simsun" w:eastAsia="宋体" w:hAnsi="simsun" w:cs="宋体"/>
          <w:color w:val="333333"/>
          <w:kern w:val="0"/>
          <w:sz w:val="24"/>
          <w:szCs w:val="24"/>
        </w:rPr>
        <w:t>1</w:t>
      </w:r>
      <w:r w:rsidRPr="006A0734">
        <w:rPr>
          <w:rFonts w:ascii="simsun" w:eastAsia="宋体" w:hAnsi="simsun" w:cs="宋体"/>
          <w:color w:val="333333"/>
          <w:kern w:val="0"/>
          <w:sz w:val="24"/>
          <w:szCs w:val="24"/>
        </w:rPr>
        <w:t>年的创新试点服务事项实施方案（下称</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当年实施方案</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），并填写《</w:t>
      </w:r>
      <w:r w:rsidRPr="006A0734">
        <w:rPr>
          <w:rFonts w:ascii="simsun" w:eastAsia="宋体" w:hAnsi="simsun" w:cs="宋体"/>
          <w:color w:val="333333"/>
          <w:kern w:val="0"/>
          <w:sz w:val="24"/>
          <w:szCs w:val="24"/>
        </w:rPr>
        <w:t>2019</w:t>
      </w:r>
      <w:r w:rsidRPr="006A0734">
        <w:rPr>
          <w:rFonts w:ascii="simsun" w:eastAsia="宋体" w:hAnsi="simsun" w:cs="宋体"/>
          <w:color w:val="333333"/>
          <w:kern w:val="0"/>
          <w:sz w:val="24"/>
          <w:szCs w:val="24"/>
        </w:rPr>
        <w:t>年度金融支农创新试点服务事项承接意向情况表》（附件</w:t>
      </w:r>
      <w:r w:rsidRPr="006A0734">
        <w:rPr>
          <w:rFonts w:ascii="simsun" w:eastAsia="宋体" w:hAnsi="simsun" w:cs="宋体"/>
          <w:color w:val="333333"/>
          <w:kern w:val="0"/>
          <w:sz w:val="24"/>
          <w:szCs w:val="24"/>
        </w:rPr>
        <w:t>2</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2019</w:t>
      </w:r>
      <w:r w:rsidRPr="006A0734">
        <w:rPr>
          <w:rFonts w:ascii="simsun" w:eastAsia="宋体" w:hAnsi="simsun" w:cs="宋体"/>
          <w:color w:val="333333"/>
          <w:kern w:val="0"/>
          <w:sz w:val="24"/>
          <w:szCs w:val="24"/>
        </w:rPr>
        <w:t>年度金融支农创新试点服务事项绩效目标表》（附件</w:t>
      </w:r>
      <w:r w:rsidRPr="006A0734">
        <w:rPr>
          <w:rFonts w:ascii="simsun" w:eastAsia="宋体" w:hAnsi="simsun" w:cs="宋体"/>
          <w:color w:val="333333"/>
          <w:kern w:val="0"/>
          <w:sz w:val="24"/>
          <w:szCs w:val="24"/>
        </w:rPr>
        <w:t>3</w:t>
      </w:r>
      <w:r w:rsidRPr="006A0734">
        <w:rPr>
          <w:rFonts w:ascii="simsun" w:eastAsia="宋体" w:hAnsi="simsun" w:cs="宋体"/>
          <w:color w:val="333333"/>
          <w:kern w:val="0"/>
          <w:sz w:val="24"/>
          <w:szCs w:val="24"/>
        </w:rPr>
        <w:t>）。实施方案应主要包括试点背景意义、主要内容、可行性和创新性、绩效目标、进度安排、金融机构与农业农村部门合作机制、资金使用和保障措施等。</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对于具有相对固定性、连续性的试点，鼓励金融机构同步编制期限不超过</w:t>
      </w:r>
      <w:r w:rsidRPr="006A0734">
        <w:rPr>
          <w:rFonts w:ascii="simsun" w:eastAsia="宋体" w:hAnsi="simsun" w:cs="宋体"/>
          <w:color w:val="333333"/>
          <w:kern w:val="0"/>
          <w:sz w:val="24"/>
          <w:szCs w:val="24"/>
        </w:rPr>
        <w:t>3</w:t>
      </w:r>
      <w:r w:rsidRPr="006A0734">
        <w:rPr>
          <w:rFonts w:ascii="simsun" w:eastAsia="宋体" w:hAnsi="simsun" w:cs="宋体"/>
          <w:color w:val="333333"/>
          <w:kern w:val="0"/>
          <w:sz w:val="24"/>
          <w:szCs w:val="24"/>
        </w:rPr>
        <w:t>年的规划方案，将总体绩效目标在三年内统筹设定，并</w:t>
      </w:r>
      <w:proofErr w:type="gramStart"/>
      <w:r w:rsidRPr="006A0734">
        <w:rPr>
          <w:rFonts w:ascii="simsun" w:eastAsia="宋体" w:hAnsi="simsun" w:cs="宋体"/>
          <w:color w:val="333333"/>
          <w:kern w:val="0"/>
          <w:sz w:val="24"/>
          <w:szCs w:val="24"/>
        </w:rPr>
        <w:t>明确分</w:t>
      </w:r>
      <w:proofErr w:type="gramEnd"/>
      <w:r w:rsidRPr="006A0734">
        <w:rPr>
          <w:rFonts w:ascii="simsun" w:eastAsia="宋体" w:hAnsi="simsun" w:cs="宋体"/>
          <w:color w:val="333333"/>
          <w:kern w:val="0"/>
          <w:sz w:val="24"/>
          <w:szCs w:val="24"/>
        </w:rPr>
        <w:t>年进度安排，做到衔接有序、切实可行。</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二）推荐排序。金融机构将年度实施方案、规划方案报送省级农业农村部门。省级农业农村部门结合本地区金融服务乡村振兴重点领域和薄弱环节，组织开展创新试点服务事项推荐工作，统筹平衡信贷类、保险类服务事项数量以及承接主体情况，确定拟推荐的创新试点服务事项，排出优先序，并及时向农业农村部计划财务司报送创新试点服务事项推荐函，以及各服务事项当年实施方案、意向情况表、绩效目标表、规划方案。</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（三）审查备案。农业农村部计划财务司组织有关专家，对省级农业农村部门报送的试点材料，就创新性、可行性，以及方案质量、放大倍数等因素进行审查备案，对不符合条件的将不予采购。</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（四）合同签订。农业农村部计划财务司与各创新试点服务事项承接主体逐个签订当年政府购买服务合同，订立政府购买服务绩效目标表。</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（五）资金支付。农业农村部计划财务司根据签订的政府购买服务合同和承接方出具的服务费发票支付资金。</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四、绩效管理和信息调度</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lastRenderedPageBreak/>
        <w:t>农业农村部计划财务司将建立健全政府购买服务绩效管理制度，开展绩效评估、绩效监控、绩效评价，并加强绩效评价结果应用，着力提高创新试点实施质量和效率。同时，将通过直报系统，定期调度各创新试点服务事项进展情况，推动服务事项落实落地。各省级农业农村部门要加强统筹协调，于</w:t>
      </w:r>
      <w:r w:rsidRPr="006A0734">
        <w:rPr>
          <w:rFonts w:ascii="simsun" w:eastAsia="宋体" w:hAnsi="simsun" w:cs="宋体"/>
          <w:color w:val="333333"/>
          <w:kern w:val="0"/>
          <w:sz w:val="24"/>
          <w:szCs w:val="24"/>
        </w:rPr>
        <w:t>2019</w:t>
      </w:r>
      <w:r w:rsidRPr="006A0734">
        <w:rPr>
          <w:rFonts w:ascii="simsun" w:eastAsia="宋体" w:hAnsi="simsun" w:cs="宋体"/>
          <w:color w:val="333333"/>
          <w:kern w:val="0"/>
          <w:sz w:val="24"/>
          <w:szCs w:val="24"/>
        </w:rPr>
        <w:t>年</w:t>
      </w:r>
      <w:r w:rsidRPr="006A0734">
        <w:rPr>
          <w:rFonts w:ascii="simsun" w:eastAsia="宋体" w:hAnsi="simsun" w:cs="宋体"/>
          <w:color w:val="333333"/>
          <w:kern w:val="0"/>
          <w:sz w:val="24"/>
          <w:szCs w:val="24"/>
        </w:rPr>
        <w:t>7</w:t>
      </w:r>
      <w:r w:rsidRPr="006A0734">
        <w:rPr>
          <w:rFonts w:ascii="simsun" w:eastAsia="宋体" w:hAnsi="simsun" w:cs="宋体"/>
          <w:color w:val="333333"/>
          <w:kern w:val="0"/>
          <w:sz w:val="24"/>
          <w:szCs w:val="24"/>
        </w:rPr>
        <w:t>月</w:t>
      </w:r>
      <w:r w:rsidRPr="006A0734">
        <w:rPr>
          <w:rFonts w:ascii="simsun" w:eastAsia="宋体" w:hAnsi="simsun" w:cs="宋体"/>
          <w:color w:val="333333"/>
          <w:kern w:val="0"/>
          <w:sz w:val="24"/>
          <w:szCs w:val="24"/>
        </w:rPr>
        <w:t>31</w:t>
      </w:r>
      <w:r w:rsidRPr="006A0734">
        <w:rPr>
          <w:rFonts w:ascii="simsun" w:eastAsia="宋体" w:hAnsi="simsun" w:cs="宋体"/>
          <w:color w:val="333333"/>
          <w:kern w:val="0"/>
          <w:sz w:val="24"/>
          <w:szCs w:val="24"/>
        </w:rPr>
        <w:t>日前将推荐函、实施方案、规划方案等相关材料一式两份（加盖公章），报送农业农村部计划财务司（电子文档一并发送至电子邮箱），逾期一律不予受理。</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联系人：程百川、董明</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联系电话：</w:t>
      </w:r>
      <w:r w:rsidRPr="006A0734">
        <w:rPr>
          <w:rFonts w:ascii="simsun" w:eastAsia="宋体" w:hAnsi="simsun" w:cs="宋体"/>
          <w:color w:val="333333"/>
          <w:kern w:val="0"/>
          <w:sz w:val="24"/>
          <w:szCs w:val="24"/>
        </w:rPr>
        <w:t>010—59193221</w:t>
      </w:r>
      <w:r w:rsidRPr="006A0734">
        <w:rPr>
          <w:rFonts w:ascii="simsun" w:eastAsia="宋体" w:hAnsi="simsun" w:cs="宋体"/>
          <w:color w:val="333333"/>
          <w:kern w:val="0"/>
          <w:sz w:val="24"/>
          <w:szCs w:val="24"/>
        </w:rPr>
        <w:t>、</w:t>
      </w:r>
      <w:r w:rsidRPr="006A0734">
        <w:rPr>
          <w:rFonts w:ascii="simsun" w:eastAsia="宋体" w:hAnsi="simsun" w:cs="宋体"/>
          <w:color w:val="333333"/>
          <w:kern w:val="0"/>
          <w:sz w:val="24"/>
          <w:szCs w:val="24"/>
        </w:rPr>
        <w:t>59192519</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电子邮件：</w:t>
      </w:r>
      <w:r w:rsidRPr="006A0734">
        <w:rPr>
          <w:rFonts w:ascii="simsun" w:eastAsia="宋体" w:hAnsi="simsun" w:cs="宋体"/>
          <w:color w:val="333333"/>
          <w:kern w:val="0"/>
          <w:sz w:val="24"/>
          <w:szCs w:val="24"/>
        </w:rPr>
        <w:t>moafinance@agri.gov.cn</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直报系统网址：</w:t>
      </w:r>
      <w:r w:rsidRPr="006A0734">
        <w:rPr>
          <w:rFonts w:ascii="simsun" w:eastAsia="宋体" w:hAnsi="simsun" w:cs="宋体"/>
          <w:color w:val="333333"/>
          <w:kern w:val="0"/>
          <w:sz w:val="24"/>
          <w:szCs w:val="24"/>
        </w:rPr>
        <w:t>http://xnzb.org.cn/</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附件：</w:t>
      </w:r>
      <w:r w:rsidRPr="006A0734">
        <w:rPr>
          <w:rFonts w:ascii="simsun" w:eastAsia="宋体" w:hAnsi="simsun" w:cs="宋体"/>
          <w:color w:val="333333"/>
          <w:kern w:val="0"/>
          <w:sz w:val="24"/>
          <w:szCs w:val="24"/>
        </w:rPr>
        <w:t>1.2019</w:t>
      </w:r>
      <w:r w:rsidRPr="006A0734">
        <w:rPr>
          <w:rFonts w:ascii="simsun" w:eastAsia="宋体" w:hAnsi="simsun" w:cs="宋体"/>
          <w:color w:val="333333"/>
          <w:kern w:val="0"/>
          <w:sz w:val="24"/>
          <w:szCs w:val="24"/>
        </w:rPr>
        <w:t>年度金融支农创新试点服务事项重点选题方向参考</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2.2019</w:t>
      </w:r>
      <w:r w:rsidRPr="006A0734">
        <w:rPr>
          <w:rFonts w:ascii="simsun" w:eastAsia="宋体" w:hAnsi="simsun" w:cs="宋体"/>
          <w:color w:val="333333"/>
          <w:kern w:val="0"/>
          <w:sz w:val="24"/>
          <w:szCs w:val="24"/>
        </w:rPr>
        <w:t>年度金融支农创新试点服务事项承接意向情况表</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3.2019</w:t>
      </w:r>
      <w:r w:rsidRPr="006A0734">
        <w:rPr>
          <w:rFonts w:ascii="simsun" w:eastAsia="宋体" w:hAnsi="simsun" w:cs="宋体"/>
          <w:color w:val="333333"/>
          <w:kern w:val="0"/>
          <w:sz w:val="24"/>
          <w:szCs w:val="24"/>
        </w:rPr>
        <w:t>年度金融支农创新试点服务事项绩效目标表</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农业农村部办公厅</w:t>
      </w:r>
    </w:p>
    <w:p w:rsidR="006A0734" w:rsidRPr="006A0734" w:rsidRDefault="006A0734" w:rsidP="006A0734">
      <w:pPr>
        <w:widowControl/>
        <w:shd w:val="clear" w:color="auto" w:fill="FFFFFF"/>
        <w:spacing w:before="225"/>
        <w:ind w:firstLine="480"/>
        <w:rPr>
          <w:rFonts w:ascii="simsun" w:eastAsia="宋体" w:hAnsi="simsun" w:cs="宋体"/>
          <w:color w:val="333333"/>
          <w:kern w:val="0"/>
          <w:sz w:val="24"/>
          <w:szCs w:val="24"/>
        </w:rPr>
      </w:pPr>
      <w:r w:rsidRPr="006A0734">
        <w:rPr>
          <w:rFonts w:ascii="simsun" w:eastAsia="宋体" w:hAnsi="simsun" w:cs="宋体"/>
          <w:color w:val="333333"/>
          <w:kern w:val="0"/>
          <w:sz w:val="24"/>
          <w:szCs w:val="24"/>
        </w:rPr>
        <w:t>2019</w:t>
      </w:r>
      <w:r w:rsidRPr="006A0734">
        <w:rPr>
          <w:rFonts w:ascii="simsun" w:eastAsia="宋体" w:hAnsi="simsun" w:cs="宋体"/>
          <w:color w:val="333333"/>
          <w:kern w:val="0"/>
          <w:sz w:val="24"/>
          <w:szCs w:val="24"/>
        </w:rPr>
        <w:t>年</w:t>
      </w:r>
      <w:r w:rsidRPr="006A0734">
        <w:rPr>
          <w:rFonts w:ascii="simsun" w:eastAsia="宋体" w:hAnsi="simsun" w:cs="宋体"/>
          <w:color w:val="333333"/>
          <w:kern w:val="0"/>
          <w:sz w:val="24"/>
          <w:szCs w:val="24"/>
        </w:rPr>
        <w:t>7</w:t>
      </w:r>
      <w:r w:rsidRPr="006A0734">
        <w:rPr>
          <w:rFonts w:ascii="simsun" w:eastAsia="宋体" w:hAnsi="simsun" w:cs="宋体"/>
          <w:color w:val="333333"/>
          <w:kern w:val="0"/>
          <w:sz w:val="24"/>
          <w:szCs w:val="24"/>
        </w:rPr>
        <w:t>月</w:t>
      </w:r>
      <w:r w:rsidRPr="006A0734">
        <w:rPr>
          <w:rFonts w:ascii="simsun" w:eastAsia="宋体" w:hAnsi="simsun" w:cs="宋体"/>
          <w:color w:val="333333"/>
          <w:kern w:val="0"/>
          <w:sz w:val="24"/>
          <w:szCs w:val="24"/>
        </w:rPr>
        <w:t>5</w:t>
      </w:r>
      <w:r w:rsidRPr="006A0734">
        <w:rPr>
          <w:rFonts w:ascii="simsun" w:eastAsia="宋体" w:hAnsi="simsun" w:cs="宋体"/>
          <w:color w:val="333333"/>
          <w:kern w:val="0"/>
          <w:sz w:val="24"/>
          <w:szCs w:val="24"/>
        </w:rPr>
        <w:t>日</w:t>
      </w:r>
    </w:p>
    <w:p w:rsidR="00A01D53" w:rsidRPr="006A0734" w:rsidRDefault="00A01D53" w:rsidP="006A0734">
      <w:bookmarkStart w:id="0" w:name="_GoBack"/>
      <w:bookmarkEnd w:id="0"/>
    </w:p>
    <w:sectPr w:rsidR="00A01D53" w:rsidRPr="006A07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34"/>
    <w:rsid w:val="006A0734"/>
    <w:rsid w:val="00A01D53"/>
    <w:rsid w:val="00D32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2310"/>
  <w15:chartTrackingRefBased/>
  <w15:docId w15:val="{43DBE84B-4BC1-4070-94EC-07E19457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5173">
      <w:bodyDiv w:val="1"/>
      <w:marLeft w:val="0"/>
      <w:marRight w:val="0"/>
      <w:marTop w:val="0"/>
      <w:marBottom w:val="0"/>
      <w:divBdr>
        <w:top w:val="none" w:sz="0" w:space="0" w:color="auto"/>
        <w:left w:val="none" w:sz="0" w:space="0" w:color="auto"/>
        <w:bottom w:val="none" w:sz="0" w:space="0" w:color="auto"/>
        <w:right w:val="none" w:sz="0" w:space="0" w:color="auto"/>
      </w:divBdr>
      <w:divsChild>
        <w:div w:id="1778598941">
          <w:marLeft w:val="0"/>
          <w:marRight w:val="0"/>
          <w:marTop w:val="0"/>
          <w:marBottom w:val="300"/>
          <w:divBdr>
            <w:top w:val="none" w:sz="0" w:space="0" w:color="auto"/>
            <w:left w:val="none" w:sz="0" w:space="0" w:color="auto"/>
            <w:bottom w:val="none" w:sz="0" w:space="0" w:color="auto"/>
            <w:right w:val="none" w:sz="0" w:space="0" w:color="auto"/>
          </w:divBdr>
          <w:divsChild>
            <w:div w:id="1079525390">
              <w:marLeft w:val="300"/>
              <w:marRight w:val="300"/>
              <w:marTop w:val="0"/>
              <w:marBottom w:val="300"/>
              <w:divBdr>
                <w:top w:val="single" w:sz="6" w:space="23" w:color="DDDDDD"/>
                <w:left w:val="single" w:sz="6" w:space="31" w:color="DDDDDD"/>
                <w:bottom w:val="single" w:sz="6" w:space="23" w:color="DDDDDD"/>
                <w:right w:val="single" w:sz="6" w:space="31" w:color="DDDDDD"/>
              </w:divBdr>
              <w:divsChild>
                <w:div w:id="19663525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22861879">
          <w:marLeft w:val="0"/>
          <w:marRight w:val="0"/>
          <w:marTop w:val="0"/>
          <w:marBottom w:val="0"/>
          <w:divBdr>
            <w:top w:val="none" w:sz="0" w:space="0" w:color="auto"/>
            <w:left w:val="none" w:sz="0" w:space="0" w:color="auto"/>
            <w:bottom w:val="none" w:sz="0" w:space="0" w:color="auto"/>
            <w:right w:val="none" w:sz="0" w:space="0" w:color="auto"/>
          </w:divBdr>
          <w:divsChild>
            <w:div w:id="224881589">
              <w:marLeft w:val="0"/>
              <w:marRight w:val="0"/>
              <w:marTop w:val="0"/>
              <w:marBottom w:val="0"/>
              <w:divBdr>
                <w:top w:val="none" w:sz="0" w:space="0" w:color="auto"/>
                <w:left w:val="none" w:sz="0" w:space="0" w:color="auto"/>
                <w:bottom w:val="none" w:sz="0" w:space="0" w:color="auto"/>
                <w:right w:val="none" w:sz="0" w:space="0" w:color="auto"/>
              </w:divBdr>
              <w:divsChild>
                <w:div w:id="860046134">
                  <w:marLeft w:val="0"/>
                  <w:marRight w:val="0"/>
                  <w:marTop w:val="0"/>
                  <w:marBottom w:val="0"/>
                  <w:divBdr>
                    <w:top w:val="none" w:sz="0" w:space="0" w:color="auto"/>
                    <w:left w:val="none" w:sz="0" w:space="0" w:color="auto"/>
                    <w:bottom w:val="none" w:sz="0" w:space="0" w:color="auto"/>
                    <w:right w:val="none" w:sz="0" w:space="0" w:color="auto"/>
                  </w:divBdr>
                </w:div>
                <w:div w:id="2043287083">
                  <w:marLeft w:val="0"/>
                  <w:marRight w:val="0"/>
                  <w:marTop w:val="0"/>
                  <w:marBottom w:val="0"/>
                  <w:divBdr>
                    <w:top w:val="none" w:sz="0" w:space="0" w:color="auto"/>
                    <w:left w:val="none" w:sz="0" w:space="0" w:color="auto"/>
                    <w:bottom w:val="none" w:sz="0" w:space="0" w:color="auto"/>
                    <w:right w:val="none" w:sz="0" w:space="0" w:color="auto"/>
                  </w:divBdr>
                </w:div>
                <w:div w:id="20828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3189">
      <w:bodyDiv w:val="1"/>
      <w:marLeft w:val="0"/>
      <w:marRight w:val="0"/>
      <w:marTop w:val="0"/>
      <w:marBottom w:val="0"/>
      <w:divBdr>
        <w:top w:val="none" w:sz="0" w:space="0" w:color="auto"/>
        <w:left w:val="none" w:sz="0" w:space="0" w:color="auto"/>
        <w:bottom w:val="none" w:sz="0" w:space="0" w:color="auto"/>
        <w:right w:val="none" w:sz="0" w:space="0" w:color="auto"/>
      </w:divBdr>
      <w:divsChild>
        <w:div w:id="1822234799">
          <w:marLeft w:val="0"/>
          <w:marRight w:val="0"/>
          <w:marTop w:val="0"/>
          <w:marBottom w:val="300"/>
          <w:divBdr>
            <w:top w:val="none" w:sz="0" w:space="0" w:color="auto"/>
            <w:left w:val="none" w:sz="0" w:space="0" w:color="auto"/>
            <w:bottom w:val="none" w:sz="0" w:space="0" w:color="auto"/>
            <w:right w:val="none" w:sz="0" w:space="0" w:color="auto"/>
          </w:divBdr>
          <w:divsChild>
            <w:div w:id="2013294733">
              <w:marLeft w:val="300"/>
              <w:marRight w:val="300"/>
              <w:marTop w:val="0"/>
              <w:marBottom w:val="300"/>
              <w:divBdr>
                <w:top w:val="single" w:sz="6" w:space="23" w:color="DDDDDD"/>
                <w:left w:val="single" w:sz="6" w:space="31" w:color="DDDDDD"/>
                <w:bottom w:val="single" w:sz="6" w:space="23" w:color="DDDDDD"/>
                <w:right w:val="single" w:sz="6" w:space="31" w:color="DDDDDD"/>
              </w:divBdr>
              <w:divsChild>
                <w:div w:id="7453729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3508134">
          <w:marLeft w:val="0"/>
          <w:marRight w:val="0"/>
          <w:marTop w:val="0"/>
          <w:marBottom w:val="0"/>
          <w:divBdr>
            <w:top w:val="none" w:sz="0" w:space="0" w:color="auto"/>
            <w:left w:val="none" w:sz="0" w:space="0" w:color="auto"/>
            <w:bottom w:val="none" w:sz="0" w:space="0" w:color="auto"/>
            <w:right w:val="none" w:sz="0" w:space="0" w:color="auto"/>
          </w:divBdr>
          <w:divsChild>
            <w:div w:id="617949861">
              <w:marLeft w:val="0"/>
              <w:marRight w:val="0"/>
              <w:marTop w:val="0"/>
              <w:marBottom w:val="0"/>
              <w:divBdr>
                <w:top w:val="none" w:sz="0" w:space="0" w:color="auto"/>
                <w:left w:val="none" w:sz="0" w:space="0" w:color="auto"/>
                <w:bottom w:val="none" w:sz="0" w:space="0" w:color="auto"/>
                <w:right w:val="none" w:sz="0" w:space="0" w:color="auto"/>
              </w:divBdr>
              <w:divsChild>
                <w:div w:id="1918587855">
                  <w:marLeft w:val="0"/>
                  <w:marRight w:val="0"/>
                  <w:marTop w:val="0"/>
                  <w:marBottom w:val="0"/>
                  <w:divBdr>
                    <w:top w:val="none" w:sz="0" w:space="0" w:color="auto"/>
                    <w:left w:val="none" w:sz="0" w:space="0" w:color="auto"/>
                    <w:bottom w:val="none" w:sz="0" w:space="0" w:color="auto"/>
                    <w:right w:val="none" w:sz="0" w:space="0" w:color="auto"/>
                  </w:divBdr>
                </w:div>
                <w:div w:id="1494759372">
                  <w:marLeft w:val="0"/>
                  <w:marRight w:val="0"/>
                  <w:marTop w:val="0"/>
                  <w:marBottom w:val="0"/>
                  <w:divBdr>
                    <w:top w:val="none" w:sz="0" w:space="0" w:color="auto"/>
                    <w:left w:val="none" w:sz="0" w:space="0" w:color="auto"/>
                    <w:bottom w:val="none" w:sz="0" w:space="0" w:color="auto"/>
                    <w:right w:val="none" w:sz="0" w:space="0" w:color="auto"/>
                  </w:divBdr>
                </w:div>
                <w:div w:id="770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c:creator>
  <cp:keywords/>
  <dc:description/>
  <cp:lastModifiedBy> </cp:lastModifiedBy>
  <cp:revision>1</cp:revision>
  <dcterms:created xsi:type="dcterms:W3CDTF">2019-07-18T12:05:00Z</dcterms:created>
  <dcterms:modified xsi:type="dcterms:W3CDTF">2019-07-18T12:17:00Z</dcterms:modified>
</cp:coreProperties>
</file>